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E9BC" w14:textId="77777777" w:rsidR="009C2B5C" w:rsidRPr="009C2B5C" w:rsidRDefault="009C2B5C">
      <w:pPr>
        <w:contextualSpacing w:val="0"/>
        <w:rPr>
          <w:sz w:val="15"/>
        </w:rPr>
      </w:pPr>
      <w:bookmarkStart w:id="0" w:name="_GoBack"/>
      <w:bookmarkEnd w:id="0"/>
    </w:p>
    <w:p w14:paraId="17DC84AB" w14:textId="0B8EC211" w:rsidR="00AB0F43" w:rsidRPr="009C2B5C" w:rsidRDefault="00AB0F43" w:rsidP="009C2B5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36"/>
          <w:u w:val="single"/>
        </w:rPr>
      </w:pPr>
      <w:r w:rsidRPr="009C2B5C">
        <w:rPr>
          <w:rStyle w:val="Titredulivre"/>
          <w:sz w:val="36"/>
          <w:u w:val="single"/>
        </w:rPr>
        <w:t>Fiche d’aide au compagnonnage</w:t>
      </w:r>
    </w:p>
    <w:p w14:paraId="7FE15CF0" w14:textId="224D7FCA" w:rsidR="008F673A" w:rsidRPr="009C2B5C" w:rsidRDefault="00FC742F" w:rsidP="009C2B5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b w:val="0"/>
          <w:i/>
          <w:sz w:val="36"/>
        </w:rPr>
      </w:pPr>
      <w:r>
        <w:rPr>
          <w:rStyle w:val="Titredulivre"/>
          <w:b w:val="0"/>
          <w:i/>
          <w:sz w:val="36"/>
        </w:rPr>
        <w:t>Identification des mots</w:t>
      </w:r>
    </w:p>
    <w:p w14:paraId="03B76737" w14:textId="77777777" w:rsidR="008F673A" w:rsidRDefault="008F673A">
      <w:pPr>
        <w:contextualSpacing w:val="0"/>
      </w:pPr>
    </w:p>
    <w:p w14:paraId="2DFF5E8E" w14:textId="77777777" w:rsidR="008F673A" w:rsidRPr="005C298A" w:rsidRDefault="00E84B61" w:rsidP="00F86BEB">
      <w:pPr>
        <w:numPr>
          <w:ilvl w:val="0"/>
          <w:numId w:val="1"/>
        </w:numPr>
        <w:shd w:val="clear" w:color="auto" w:fill="E5B8B7" w:themeFill="accent2" w:themeFillTint="66"/>
        <w:rPr>
          <w:rFonts w:asciiTheme="majorHAnsi" w:hAnsiTheme="majorHAnsi"/>
          <w:b/>
          <w:sz w:val="28"/>
        </w:rPr>
      </w:pPr>
      <w:r w:rsidRPr="005C298A">
        <w:rPr>
          <w:rFonts w:asciiTheme="majorHAnsi" w:hAnsiTheme="majorHAnsi"/>
          <w:b/>
          <w:sz w:val="28"/>
          <w:u w:val="single"/>
        </w:rPr>
        <w:t xml:space="preserve"> Grille d’auto-positionnement :</w:t>
      </w:r>
    </w:p>
    <w:p w14:paraId="088D9B03" w14:textId="77777777" w:rsidR="00764D58" w:rsidRDefault="00764D58" w:rsidP="00764D58">
      <w:pPr>
        <w:spacing w:line="240" w:lineRule="auto"/>
        <w:contextualSpacing w:val="0"/>
        <w:rPr>
          <w:rStyle w:val="lev"/>
          <w:b w:val="0"/>
          <w:sz w:val="24"/>
        </w:rPr>
      </w:pPr>
    </w:p>
    <w:p w14:paraId="489BDFF4" w14:textId="77777777" w:rsidR="00FC742F" w:rsidRPr="00EE6244" w:rsidRDefault="00FC742F" w:rsidP="00FC742F">
      <w:pPr>
        <w:rPr>
          <w:rFonts w:asciiTheme="majorHAnsi" w:hAnsiTheme="majorHAnsi"/>
          <w:i/>
          <w:sz w:val="24"/>
          <w:szCs w:val="24"/>
          <w:lang w:val="fr-CH"/>
        </w:rPr>
      </w:pPr>
      <w:r w:rsidRPr="00EE6244">
        <w:rPr>
          <w:rFonts w:asciiTheme="majorHAnsi" w:hAnsiTheme="majorHAnsi"/>
          <w:i/>
          <w:sz w:val="24"/>
          <w:szCs w:val="24"/>
          <w:lang w:val="fr-CH"/>
        </w:rPr>
        <w:t>Les questions à se poser pour enseigner de manière efficace l’identification des mots</w:t>
      </w:r>
    </w:p>
    <w:p w14:paraId="1EEB7EA4" w14:textId="77777777" w:rsidR="00FC742F" w:rsidRPr="00FC742F" w:rsidRDefault="00FC742F" w:rsidP="00FC742F">
      <w:pPr>
        <w:rPr>
          <w:rFonts w:asciiTheme="majorHAnsi" w:hAnsiTheme="majorHAnsi"/>
          <w:sz w:val="28"/>
          <w:szCs w:val="28"/>
          <w:lang w:val="fr-CH"/>
        </w:rPr>
      </w:pPr>
    </w:p>
    <w:tbl>
      <w:tblPr>
        <w:tblStyle w:val="Grilledutableau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396B8B" w:rsidRPr="00FC742F" w14:paraId="329D6086" w14:textId="77777777" w:rsidTr="00D6242C">
        <w:trPr>
          <w:trHeight w:val="1077"/>
        </w:trPr>
        <w:tc>
          <w:tcPr>
            <w:tcW w:w="13745" w:type="dxa"/>
            <w:vAlign w:val="center"/>
          </w:tcPr>
          <w:p w14:paraId="49CA7D73" w14:textId="6A9F038C" w:rsidR="00396B8B" w:rsidRPr="00BE476B" w:rsidRDefault="00396B8B" w:rsidP="00D6242C">
            <w:pPr>
              <w:rPr>
                <w:rFonts w:asciiTheme="majorHAnsi" w:hAnsiTheme="majorHAnsi"/>
                <w:sz w:val="24"/>
                <w:szCs w:val="24"/>
                <w:lang w:val="fr-CH"/>
              </w:rPr>
            </w:pPr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 xml:space="preserve">Est-ce que j’enseigne un minimum de 14 correspondances </w:t>
            </w:r>
            <w:proofErr w:type="spellStart"/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>graphophonémiques</w:t>
            </w:r>
            <w:proofErr w:type="spellEnd"/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 xml:space="preserve"> durant les 9 premières semaines de classe ?</w:t>
            </w:r>
          </w:p>
        </w:tc>
      </w:tr>
      <w:tr w:rsidR="00396B8B" w:rsidRPr="00FC742F" w14:paraId="497A9E68" w14:textId="77777777" w:rsidTr="00D6242C">
        <w:trPr>
          <w:trHeight w:val="1077"/>
        </w:trPr>
        <w:tc>
          <w:tcPr>
            <w:tcW w:w="13745" w:type="dxa"/>
            <w:vAlign w:val="center"/>
          </w:tcPr>
          <w:p w14:paraId="5C514545" w14:textId="79843A95" w:rsidR="00396B8B" w:rsidRPr="00BE476B" w:rsidRDefault="00396B8B" w:rsidP="00D6242C">
            <w:pPr>
              <w:rPr>
                <w:rFonts w:asciiTheme="majorHAnsi" w:hAnsiTheme="majorHAnsi"/>
                <w:sz w:val="24"/>
                <w:szCs w:val="24"/>
                <w:lang w:val="fr-CH"/>
              </w:rPr>
            </w:pPr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>Est-ce que mes élèves pratiquent l’encodage quotidiennement (graphèmes, syllabes, mots) ?</w:t>
            </w:r>
          </w:p>
        </w:tc>
      </w:tr>
      <w:tr w:rsidR="00396B8B" w:rsidRPr="00FC742F" w14:paraId="61179173" w14:textId="77777777" w:rsidTr="00D6242C">
        <w:trPr>
          <w:trHeight w:val="1077"/>
        </w:trPr>
        <w:tc>
          <w:tcPr>
            <w:tcW w:w="13745" w:type="dxa"/>
            <w:vAlign w:val="center"/>
          </w:tcPr>
          <w:p w14:paraId="5A8CCA8C" w14:textId="396963EE" w:rsidR="00396B8B" w:rsidRPr="00BE476B" w:rsidRDefault="00396B8B" w:rsidP="00D6242C">
            <w:pPr>
              <w:rPr>
                <w:rFonts w:asciiTheme="majorHAnsi" w:hAnsiTheme="majorHAnsi"/>
                <w:sz w:val="24"/>
                <w:szCs w:val="24"/>
                <w:lang w:val="fr-CH"/>
              </w:rPr>
            </w:pPr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>Est-ce que je veille à ce que la part déchiffrable des textes que je soumets pour la découverte soit au moins égale à 70% (</w:t>
            </w:r>
            <w:proofErr w:type="spellStart"/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>cf</w:t>
            </w:r>
            <w:proofErr w:type="spellEnd"/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>anagraphe</w:t>
            </w:r>
            <w:proofErr w:type="spellEnd"/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>) ?</w:t>
            </w:r>
          </w:p>
        </w:tc>
      </w:tr>
      <w:tr w:rsidR="00396B8B" w:rsidRPr="00FC742F" w14:paraId="18DB25C3" w14:textId="77777777" w:rsidTr="00D6242C">
        <w:trPr>
          <w:trHeight w:val="1077"/>
        </w:trPr>
        <w:tc>
          <w:tcPr>
            <w:tcW w:w="13745" w:type="dxa"/>
            <w:vAlign w:val="center"/>
          </w:tcPr>
          <w:p w14:paraId="0ADA4ACA" w14:textId="77777777" w:rsidR="00396B8B" w:rsidRPr="00BE476B" w:rsidRDefault="00396B8B" w:rsidP="00D6242C">
            <w:pPr>
              <w:rPr>
                <w:rFonts w:asciiTheme="majorHAnsi" w:hAnsiTheme="majorHAnsi"/>
                <w:sz w:val="24"/>
                <w:szCs w:val="24"/>
                <w:lang w:val="fr-CH"/>
              </w:rPr>
            </w:pPr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>Est-ce que mes élèves pratiquent la lecture à voix haute pendant au minimum 30 minutes par semaine ?</w:t>
            </w:r>
          </w:p>
        </w:tc>
      </w:tr>
      <w:tr w:rsidR="00396B8B" w:rsidRPr="00FC742F" w14:paraId="65D70ED4" w14:textId="77777777" w:rsidTr="00D6242C">
        <w:trPr>
          <w:trHeight w:val="1077"/>
        </w:trPr>
        <w:tc>
          <w:tcPr>
            <w:tcW w:w="13745" w:type="dxa"/>
            <w:vAlign w:val="center"/>
          </w:tcPr>
          <w:p w14:paraId="4C721014" w14:textId="0CCC36AD" w:rsidR="00396B8B" w:rsidRPr="00BE476B" w:rsidRDefault="00396B8B" w:rsidP="00D6242C">
            <w:pPr>
              <w:contextualSpacing w:val="0"/>
              <w:rPr>
                <w:rFonts w:asciiTheme="majorHAnsi" w:hAnsiTheme="majorHAnsi"/>
                <w:sz w:val="24"/>
                <w:szCs w:val="24"/>
                <w:lang w:val="fr-CH"/>
              </w:rPr>
            </w:pPr>
            <w:r w:rsidRPr="00BE476B">
              <w:rPr>
                <w:rFonts w:asciiTheme="majorHAnsi" w:hAnsiTheme="majorHAnsi"/>
                <w:sz w:val="24"/>
                <w:szCs w:val="24"/>
                <w:lang w:val="fr-CH"/>
              </w:rPr>
              <w:t>Est-ce que j’instaure un travail systématique et quotidien d’entrainement sur le code alphabétique dès le début de l’année (indépendamment de ma progression) ?</w:t>
            </w:r>
          </w:p>
        </w:tc>
      </w:tr>
    </w:tbl>
    <w:p w14:paraId="1228E5CF" w14:textId="4CAFA63F" w:rsidR="003B7DA9" w:rsidRDefault="003B7DA9" w:rsidP="00764D58">
      <w:pPr>
        <w:spacing w:line="240" w:lineRule="auto"/>
        <w:contextualSpacing w:val="0"/>
        <w:rPr>
          <w:rStyle w:val="lev"/>
          <w:rFonts w:asciiTheme="majorHAnsi" w:hAnsiTheme="majorHAnsi"/>
          <w:b w:val="0"/>
          <w:sz w:val="28"/>
          <w:szCs w:val="28"/>
        </w:rPr>
      </w:pPr>
    </w:p>
    <w:p w14:paraId="09899DD3" w14:textId="77777777" w:rsidR="003B7DA9" w:rsidRDefault="003B7DA9">
      <w:pPr>
        <w:rPr>
          <w:rStyle w:val="lev"/>
          <w:rFonts w:asciiTheme="majorHAnsi" w:hAnsiTheme="majorHAnsi"/>
          <w:b w:val="0"/>
          <w:sz w:val="28"/>
          <w:szCs w:val="28"/>
        </w:rPr>
      </w:pPr>
      <w:r>
        <w:rPr>
          <w:rStyle w:val="lev"/>
          <w:rFonts w:asciiTheme="majorHAnsi" w:hAnsiTheme="majorHAnsi"/>
          <w:b w:val="0"/>
          <w:sz w:val="28"/>
          <w:szCs w:val="28"/>
        </w:rPr>
        <w:br w:type="page"/>
      </w:r>
    </w:p>
    <w:p w14:paraId="7BE03E59" w14:textId="1DA64364" w:rsidR="008F673A" w:rsidRPr="0056651A" w:rsidRDefault="00D6242C" w:rsidP="0025771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bCs/>
          <w:sz w:val="24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Questions supports pour l’échange qui suit les observations entre pairs :</w:t>
      </w:r>
    </w:p>
    <w:p w14:paraId="2CF4697B" w14:textId="6C31B755" w:rsidR="00257714" w:rsidRPr="00BE476B" w:rsidRDefault="00257714" w:rsidP="00257714">
      <w:pPr>
        <w:pStyle w:val="Paragraphedeliste"/>
        <w:numPr>
          <w:ilvl w:val="0"/>
          <w:numId w:val="1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BE476B">
        <w:rPr>
          <w:rFonts w:asciiTheme="majorHAnsi" w:hAnsiTheme="majorHAnsi"/>
          <w:sz w:val="24"/>
          <w:szCs w:val="24"/>
        </w:rPr>
        <w:t>Quelles démarches sont proposées pour déchiffrer les mots ?</w:t>
      </w:r>
    </w:p>
    <w:p w14:paraId="28E4A216" w14:textId="77777777" w:rsidR="00257714" w:rsidRPr="00BE476B" w:rsidRDefault="00257714" w:rsidP="00257714">
      <w:pPr>
        <w:pStyle w:val="Paragraphedeliste"/>
        <w:numPr>
          <w:ilvl w:val="0"/>
          <w:numId w:val="10"/>
        </w:numPr>
        <w:spacing w:line="480" w:lineRule="auto"/>
        <w:ind w:left="720"/>
        <w:rPr>
          <w:rFonts w:asciiTheme="majorHAnsi" w:eastAsia="Times New Roman" w:hAnsiTheme="majorHAnsi"/>
          <w:b/>
          <w:sz w:val="24"/>
          <w:szCs w:val="24"/>
          <w:lang w:val="fr-FR"/>
        </w:rPr>
      </w:pPr>
      <w:r w:rsidRPr="00BE476B">
        <w:rPr>
          <w:rFonts w:asciiTheme="majorHAnsi" w:hAnsiTheme="majorHAnsi"/>
          <w:sz w:val="24"/>
          <w:szCs w:val="24"/>
        </w:rPr>
        <w:t>La triple manipulation (</w:t>
      </w:r>
      <w:r w:rsidRPr="00BE476B">
        <w:rPr>
          <w:rFonts w:asciiTheme="majorHAnsi" w:eastAsia="Times New Roman" w:hAnsiTheme="majorHAnsi"/>
          <w:sz w:val="24"/>
          <w:szCs w:val="24"/>
          <w:lang w:val="fr-FR"/>
        </w:rPr>
        <w:t>classement - décodage – encodage) est-elle proposée ?</w:t>
      </w:r>
    </w:p>
    <w:p w14:paraId="3FC53D42" w14:textId="77777777" w:rsidR="00257714" w:rsidRPr="00BE476B" w:rsidRDefault="00257714" w:rsidP="00257714">
      <w:pPr>
        <w:pStyle w:val="Paragraphedeliste"/>
        <w:numPr>
          <w:ilvl w:val="0"/>
          <w:numId w:val="10"/>
        </w:numPr>
        <w:spacing w:line="480" w:lineRule="auto"/>
        <w:ind w:left="720"/>
        <w:rPr>
          <w:rFonts w:asciiTheme="majorHAnsi" w:eastAsia="Times New Roman" w:hAnsiTheme="majorHAnsi"/>
          <w:b/>
          <w:sz w:val="24"/>
          <w:szCs w:val="24"/>
          <w:lang w:val="fr-FR"/>
        </w:rPr>
      </w:pPr>
      <w:r w:rsidRPr="00BE476B">
        <w:rPr>
          <w:rFonts w:asciiTheme="majorHAnsi" w:eastAsia="Times New Roman" w:hAnsiTheme="majorHAnsi"/>
          <w:sz w:val="24"/>
          <w:szCs w:val="24"/>
          <w:lang w:val="fr-FR"/>
        </w:rPr>
        <w:t>Quelles activités d’encodage sont proposées ?</w:t>
      </w:r>
      <w:r w:rsidRPr="00BE476B">
        <w:rPr>
          <w:rFonts w:asciiTheme="majorHAnsi" w:hAnsiTheme="majorHAnsi"/>
          <w:sz w:val="24"/>
          <w:szCs w:val="24"/>
        </w:rPr>
        <w:t xml:space="preserve"> </w:t>
      </w:r>
    </w:p>
    <w:p w14:paraId="474189DB" w14:textId="37D5F526" w:rsidR="00257714" w:rsidRPr="00BE476B" w:rsidRDefault="00257714" w:rsidP="00257714">
      <w:pPr>
        <w:pStyle w:val="Paragraphedeliste"/>
        <w:numPr>
          <w:ilvl w:val="0"/>
          <w:numId w:val="10"/>
        </w:numPr>
        <w:spacing w:line="480" w:lineRule="auto"/>
        <w:ind w:left="720"/>
        <w:rPr>
          <w:rFonts w:asciiTheme="majorHAnsi" w:eastAsia="Times New Roman" w:hAnsiTheme="majorHAnsi"/>
          <w:b/>
          <w:sz w:val="24"/>
          <w:szCs w:val="24"/>
          <w:lang w:val="fr-FR"/>
        </w:rPr>
      </w:pPr>
      <w:r w:rsidRPr="00BE476B">
        <w:rPr>
          <w:rFonts w:asciiTheme="majorHAnsi" w:hAnsiTheme="majorHAnsi"/>
          <w:sz w:val="24"/>
          <w:szCs w:val="24"/>
        </w:rPr>
        <w:t xml:space="preserve">Propose-t-on un </w:t>
      </w:r>
      <w:r w:rsidRPr="00BE476B">
        <w:rPr>
          <w:rFonts w:asciiTheme="majorHAnsi" w:eastAsia="Times New Roman" w:hAnsiTheme="majorHAnsi"/>
          <w:sz w:val="24"/>
          <w:szCs w:val="24"/>
          <w:lang w:val="fr-FR"/>
        </w:rPr>
        <w:t>entraînement à la lecture automatisée de syllabes, de mots.</w:t>
      </w:r>
    </w:p>
    <w:p w14:paraId="65629216" w14:textId="38528082" w:rsidR="00257714" w:rsidRPr="00BE476B" w:rsidRDefault="00257714" w:rsidP="00257714">
      <w:pPr>
        <w:pStyle w:val="Paragraphedeliste"/>
        <w:numPr>
          <w:ilvl w:val="0"/>
          <w:numId w:val="10"/>
        </w:numPr>
        <w:spacing w:line="480" w:lineRule="auto"/>
        <w:ind w:left="720"/>
        <w:rPr>
          <w:rFonts w:asciiTheme="majorHAnsi" w:eastAsia="Times New Roman" w:hAnsiTheme="majorHAnsi"/>
          <w:b/>
          <w:sz w:val="24"/>
          <w:szCs w:val="24"/>
          <w:lang w:val="fr-FR"/>
        </w:rPr>
      </w:pPr>
      <w:r w:rsidRPr="00BE476B">
        <w:rPr>
          <w:rFonts w:asciiTheme="majorHAnsi" w:hAnsiTheme="majorHAnsi"/>
          <w:sz w:val="24"/>
          <w:szCs w:val="24"/>
        </w:rPr>
        <w:t>Quelles démarches sont proposées pour construire des règles orthographiques ?</w:t>
      </w:r>
    </w:p>
    <w:p w14:paraId="118B3275" w14:textId="77777777" w:rsidR="00257714" w:rsidRPr="00BE476B" w:rsidRDefault="00257714" w:rsidP="00257714">
      <w:pPr>
        <w:pStyle w:val="Paragraphedeliste"/>
        <w:numPr>
          <w:ilvl w:val="0"/>
          <w:numId w:val="10"/>
        </w:numPr>
        <w:spacing w:line="480" w:lineRule="auto"/>
        <w:ind w:left="720"/>
        <w:rPr>
          <w:rFonts w:asciiTheme="majorHAnsi" w:eastAsia="Times New Roman" w:hAnsiTheme="majorHAnsi"/>
          <w:b/>
          <w:sz w:val="24"/>
          <w:szCs w:val="24"/>
          <w:lang w:val="fr-FR"/>
        </w:rPr>
      </w:pPr>
      <w:r w:rsidRPr="00BE476B">
        <w:rPr>
          <w:rFonts w:asciiTheme="majorHAnsi" w:eastAsia="Times New Roman" w:hAnsiTheme="majorHAnsi"/>
          <w:sz w:val="24"/>
          <w:szCs w:val="24"/>
          <w:lang w:val="fr-FR"/>
        </w:rPr>
        <w:t>Fait-on mémoriser des formes orthographiques pour fixer des régularités ?</w:t>
      </w:r>
    </w:p>
    <w:p w14:paraId="71444F18" w14:textId="40442316" w:rsidR="00257714" w:rsidRPr="00BE476B" w:rsidRDefault="00257714" w:rsidP="00257714">
      <w:pPr>
        <w:pStyle w:val="Paragraphedeliste"/>
        <w:numPr>
          <w:ilvl w:val="0"/>
          <w:numId w:val="11"/>
        </w:numPr>
        <w:spacing w:line="480" w:lineRule="auto"/>
        <w:rPr>
          <w:rFonts w:asciiTheme="majorHAnsi" w:eastAsia="Times New Roman" w:hAnsiTheme="majorHAnsi"/>
          <w:bCs/>
          <w:sz w:val="24"/>
          <w:szCs w:val="24"/>
          <w:lang w:val="fr-FR"/>
        </w:rPr>
      </w:pPr>
      <w:r w:rsidRPr="00BE476B">
        <w:rPr>
          <w:rFonts w:asciiTheme="majorHAnsi" w:hAnsiTheme="majorHAnsi"/>
          <w:sz w:val="24"/>
          <w:szCs w:val="24"/>
        </w:rPr>
        <w:t>Fait-on épeler fréquemment des mots ?</w:t>
      </w:r>
    </w:p>
    <w:p w14:paraId="649B4374" w14:textId="77777777" w:rsidR="00257714" w:rsidRPr="00BE476B" w:rsidRDefault="00257714" w:rsidP="00257714">
      <w:pPr>
        <w:pStyle w:val="Paragraphedeliste"/>
        <w:numPr>
          <w:ilvl w:val="0"/>
          <w:numId w:val="10"/>
        </w:numPr>
        <w:spacing w:line="480" w:lineRule="auto"/>
        <w:ind w:left="720"/>
        <w:rPr>
          <w:rFonts w:asciiTheme="majorHAnsi" w:eastAsia="Times New Roman" w:hAnsiTheme="majorHAnsi"/>
          <w:b/>
          <w:sz w:val="24"/>
          <w:szCs w:val="24"/>
          <w:lang w:val="fr-FR"/>
        </w:rPr>
      </w:pPr>
      <w:r w:rsidRPr="00BE476B">
        <w:rPr>
          <w:rFonts w:asciiTheme="majorHAnsi" w:eastAsia="Times New Roman" w:hAnsiTheme="majorHAnsi"/>
          <w:sz w:val="24"/>
          <w:szCs w:val="24"/>
          <w:lang w:val="fr-FR"/>
        </w:rPr>
        <w:t>Les trois types de supports de lecture sont-ils proposés ?</w:t>
      </w:r>
    </w:p>
    <w:p w14:paraId="33779D2C" w14:textId="77777777" w:rsidR="00257714" w:rsidRPr="00BE476B" w:rsidRDefault="00257714" w:rsidP="00257714">
      <w:pPr>
        <w:pStyle w:val="Paragraphedeliste"/>
        <w:numPr>
          <w:ilvl w:val="1"/>
          <w:numId w:val="10"/>
        </w:numPr>
        <w:spacing w:line="480" w:lineRule="auto"/>
        <w:rPr>
          <w:rFonts w:asciiTheme="majorHAnsi" w:eastAsia="Times New Roman" w:hAnsiTheme="majorHAnsi"/>
          <w:b/>
          <w:sz w:val="24"/>
          <w:szCs w:val="24"/>
          <w:lang w:val="fr-FR"/>
        </w:rPr>
      </w:pPr>
      <w:r w:rsidRPr="00BE476B">
        <w:rPr>
          <w:rFonts w:asciiTheme="majorHAnsi" w:eastAsia="Times New Roman" w:hAnsiTheme="majorHAnsi"/>
          <w:sz w:val="24"/>
          <w:szCs w:val="24"/>
          <w:lang w:val="fr-FR"/>
        </w:rPr>
        <w:t>Découverte de texte (avec 70% de mots décodables et déchiffrables)</w:t>
      </w:r>
    </w:p>
    <w:p w14:paraId="0ED56745" w14:textId="77777777" w:rsidR="00257714" w:rsidRPr="00BE476B" w:rsidRDefault="00257714" w:rsidP="00257714">
      <w:pPr>
        <w:pStyle w:val="Paragraphedeliste"/>
        <w:numPr>
          <w:ilvl w:val="1"/>
          <w:numId w:val="10"/>
        </w:numPr>
        <w:spacing w:line="480" w:lineRule="auto"/>
        <w:rPr>
          <w:rFonts w:asciiTheme="majorHAnsi" w:eastAsia="Times New Roman" w:hAnsiTheme="majorHAnsi"/>
          <w:b/>
          <w:sz w:val="24"/>
          <w:szCs w:val="24"/>
          <w:lang w:val="fr-FR"/>
        </w:rPr>
      </w:pPr>
      <w:r w:rsidRPr="00BE476B">
        <w:rPr>
          <w:rFonts w:asciiTheme="majorHAnsi" w:eastAsia="Times New Roman" w:hAnsiTheme="majorHAnsi"/>
          <w:sz w:val="24"/>
          <w:szCs w:val="24"/>
          <w:lang w:val="fr-FR"/>
        </w:rPr>
        <w:t>Entrainement à la lecture de texte (100% de décodable)</w:t>
      </w:r>
    </w:p>
    <w:p w14:paraId="069F3AFE" w14:textId="77777777" w:rsidR="00257714" w:rsidRDefault="00257714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br w:type="page"/>
      </w:r>
    </w:p>
    <w:p w14:paraId="66A46EFB" w14:textId="283EA727" w:rsidR="008F673A" w:rsidRPr="005C298A" w:rsidRDefault="005959F2" w:rsidP="00F86BEB">
      <w:pPr>
        <w:numPr>
          <w:ilvl w:val="0"/>
          <w:numId w:val="1"/>
        </w:numPr>
        <w:shd w:val="clear" w:color="auto" w:fill="E5B8B7" w:themeFill="accent2" w:themeFillTint="66"/>
        <w:rPr>
          <w:rFonts w:asciiTheme="majorHAnsi" w:hAnsiTheme="majorHAnsi"/>
          <w:b/>
          <w:sz w:val="28"/>
          <w:u w:val="single"/>
        </w:rPr>
      </w:pPr>
      <w:r w:rsidRPr="005C298A">
        <w:rPr>
          <w:rFonts w:asciiTheme="majorHAnsi" w:hAnsiTheme="majorHAnsi"/>
          <w:b/>
          <w:sz w:val="28"/>
          <w:u w:val="single"/>
        </w:rPr>
        <w:lastRenderedPageBreak/>
        <w:t xml:space="preserve">Tableau de suivi du </w:t>
      </w:r>
      <w:r w:rsidR="00AB0F43" w:rsidRPr="005C298A">
        <w:rPr>
          <w:rFonts w:asciiTheme="majorHAnsi" w:hAnsiTheme="majorHAnsi"/>
          <w:b/>
          <w:sz w:val="28"/>
          <w:u w:val="single"/>
        </w:rPr>
        <w:t>compagnonnage</w:t>
      </w:r>
      <w:r w:rsidRPr="005C298A">
        <w:rPr>
          <w:rFonts w:asciiTheme="majorHAnsi" w:hAnsiTheme="majorHAnsi"/>
          <w:b/>
          <w:sz w:val="28"/>
          <w:u w:val="single"/>
        </w:rPr>
        <w:t> </w:t>
      </w:r>
      <w:r w:rsidR="00AB0F43" w:rsidRPr="005C298A">
        <w:rPr>
          <w:rFonts w:asciiTheme="majorHAnsi" w:hAnsiTheme="majorHAnsi"/>
          <w:i/>
          <w:sz w:val="16"/>
          <w:u w:val="single"/>
        </w:rPr>
        <w:t>(à dupliquer pour chaque rencontre entre pairs dans l’idée de se créer, au fil de l’année, un « portfolio du compagnonnage »)</w:t>
      </w:r>
      <w:r w:rsidR="00AB0F43" w:rsidRPr="005C298A">
        <w:rPr>
          <w:rFonts w:asciiTheme="majorHAnsi" w:hAnsiTheme="majorHAnsi"/>
          <w:b/>
          <w:sz w:val="16"/>
          <w:u w:val="single"/>
        </w:rPr>
        <w:t xml:space="preserve"> </w:t>
      </w:r>
      <w:r w:rsidRPr="005C298A">
        <w:rPr>
          <w:rFonts w:asciiTheme="majorHAnsi" w:hAnsiTheme="majorHAnsi"/>
          <w:b/>
          <w:sz w:val="28"/>
          <w:u w:val="single"/>
        </w:rPr>
        <w:t xml:space="preserve">: </w:t>
      </w:r>
    </w:p>
    <w:p w14:paraId="6572C757" w14:textId="77777777" w:rsidR="00F86BEB" w:rsidRPr="005C298A" w:rsidRDefault="00F86BEB" w:rsidP="005C298A">
      <w:pPr>
        <w:contextualSpacing w:val="0"/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3"/>
        <w:gridCol w:w="10123"/>
      </w:tblGrid>
      <w:tr w:rsidR="005C298A" w14:paraId="3B2F65C2" w14:textId="2E92E955" w:rsidTr="005C298A">
        <w:trPr>
          <w:trHeight w:val="2154"/>
        </w:trPr>
        <w:tc>
          <w:tcPr>
            <w:tcW w:w="3843" w:type="dxa"/>
            <w:vAlign w:val="center"/>
          </w:tcPr>
          <w:p w14:paraId="757240DD" w14:textId="06C19C93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Contenus didactiques abordés : </w:t>
            </w:r>
          </w:p>
        </w:tc>
        <w:tc>
          <w:tcPr>
            <w:tcW w:w="10123" w:type="dxa"/>
            <w:vAlign w:val="center"/>
          </w:tcPr>
          <w:p w14:paraId="550E2FF4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7FB92569" w14:textId="1C5287D2" w:rsidTr="005C298A">
        <w:trPr>
          <w:trHeight w:val="2154"/>
        </w:trPr>
        <w:tc>
          <w:tcPr>
            <w:tcW w:w="3843" w:type="dxa"/>
            <w:vAlign w:val="center"/>
          </w:tcPr>
          <w:p w14:paraId="245F868A" w14:textId="60F9703F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Pratiques de classe partagées : </w:t>
            </w:r>
          </w:p>
        </w:tc>
        <w:tc>
          <w:tcPr>
            <w:tcW w:w="10123" w:type="dxa"/>
            <w:vAlign w:val="center"/>
          </w:tcPr>
          <w:p w14:paraId="25315783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4A16589E" w14:textId="70F6F65B" w:rsidTr="005C298A">
        <w:trPr>
          <w:trHeight w:val="2154"/>
        </w:trPr>
        <w:tc>
          <w:tcPr>
            <w:tcW w:w="3843" w:type="dxa"/>
            <w:vAlign w:val="center"/>
          </w:tcPr>
          <w:p w14:paraId="7CDD1FB5" w14:textId="05DE5F6E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Observations entre pairs : </w:t>
            </w:r>
          </w:p>
        </w:tc>
        <w:tc>
          <w:tcPr>
            <w:tcW w:w="10123" w:type="dxa"/>
            <w:vAlign w:val="center"/>
          </w:tcPr>
          <w:p w14:paraId="4D5602FC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344FEB33" w14:textId="77BD562F" w:rsidTr="005C298A">
        <w:trPr>
          <w:trHeight w:val="2154"/>
        </w:trPr>
        <w:tc>
          <w:tcPr>
            <w:tcW w:w="3843" w:type="dxa"/>
            <w:vAlign w:val="center"/>
          </w:tcPr>
          <w:p w14:paraId="56527499" w14:textId="047C6D5C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Perspectives : </w:t>
            </w:r>
          </w:p>
        </w:tc>
        <w:tc>
          <w:tcPr>
            <w:tcW w:w="10123" w:type="dxa"/>
            <w:vAlign w:val="center"/>
          </w:tcPr>
          <w:p w14:paraId="35A044B5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</w:tbl>
    <w:p w14:paraId="4D429389" w14:textId="77777777" w:rsidR="005959F2" w:rsidRPr="0058626A" w:rsidRDefault="005959F2" w:rsidP="005959F2">
      <w:pPr>
        <w:contextualSpacing w:val="0"/>
        <w:jc w:val="both"/>
        <w:rPr>
          <w:rStyle w:val="lev"/>
        </w:rPr>
      </w:pPr>
    </w:p>
    <w:sectPr w:rsidR="005959F2" w:rsidRPr="0058626A" w:rsidSect="00F86BEB">
      <w:headerReference w:type="default" r:id="rId7"/>
      <w:pgSz w:w="16838" w:h="11906"/>
      <w:pgMar w:top="1006" w:right="164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98D1" w14:textId="77777777" w:rsidR="007C18CA" w:rsidRDefault="007C18CA" w:rsidP="009C2B5C">
      <w:pPr>
        <w:spacing w:line="240" w:lineRule="auto"/>
      </w:pPr>
      <w:r>
        <w:separator/>
      </w:r>
    </w:p>
  </w:endnote>
  <w:endnote w:type="continuationSeparator" w:id="0">
    <w:p w14:paraId="37F3CA97" w14:textId="77777777" w:rsidR="007C18CA" w:rsidRDefault="007C18CA" w:rsidP="009C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BBDC0" w14:textId="77777777" w:rsidR="007C18CA" w:rsidRDefault="007C18CA" w:rsidP="009C2B5C">
      <w:pPr>
        <w:spacing w:line="240" w:lineRule="auto"/>
      </w:pPr>
      <w:r>
        <w:separator/>
      </w:r>
    </w:p>
  </w:footnote>
  <w:footnote w:type="continuationSeparator" w:id="0">
    <w:p w14:paraId="3702DCCD" w14:textId="77777777" w:rsidR="007C18CA" w:rsidRDefault="007C18CA" w:rsidP="009C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C768" w14:textId="44738E66" w:rsidR="009C2B5C" w:rsidRPr="009C2B5C" w:rsidRDefault="009C2B5C" w:rsidP="009C2B5C">
    <w:pPr>
      <w:pStyle w:val="En-tte"/>
      <w:shd w:val="clear" w:color="auto" w:fill="C0504D" w:themeFill="accent2"/>
      <w:rPr>
        <w:i/>
        <w:color w:val="FFFFFF" w:themeColor="background1"/>
        <w:sz w:val="18"/>
        <w:lang w:val="fr-CH"/>
      </w:rPr>
    </w:pPr>
    <w:r w:rsidRPr="009C2B5C">
      <w:rPr>
        <w:i/>
        <w:color w:val="FFFFFF" w:themeColor="background1"/>
        <w:sz w:val="18"/>
        <w:lang w:val="fr-CH"/>
      </w:rPr>
      <w:t>Accompagnement des enseignants de classes dédoublées en Education prioritaire du Haut-Rhin,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614"/>
    <w:multiLevelType w:val="hybridMultilevel"/>
    <w:tmpl w:val="BD46A4FA"/>
    <w:lvl w:ilvl="0" w:tplc="B18CD368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BD3"/>
    <w:multiLevelType w:val="hybridMultilevel"/>
    <w:tmpl w:val="435CA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A1EAD"/>
    <w:multiLevelType w:val="hybridMultilevel"/>
    <w:tmpl w:val="0C44CE8A"/>
    <w:lvl w:ilvl="0" w:tplc="B18CD368">
      <w:start w:val="3"/>
      <w:numFmt w:val="bullet"/>
      <w:lvlText w:val="-"/>
      <w:lvlJc w:val="left"/>
      <w:pPr>
        <w:ind w:left="1440" w:hanging="360"/>
      </w:pPr>
      <w:rPr>
        <w:rFonts w:ascii="Calibri" w:eastAsia="Arial" w:hAnsi="Calibri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07F22"/>
    <w:multiLevelType w:val="multilevel"/>
    <w:tmpl w:val="30BAC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F7C75EB"/>
    <w:multiLevelType w:val="hybridMultilevel"/>
    <w:tmpl w:val="39B660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B0EDF"/>
    <w:multiLevelType w:val="multilevel"/>
    <w:tmpl w:val="7FB0EA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BC954CB"/>
    <w:multiLevelType w:val="hybridMultilevel"/>
    <w:tmpl w:val="87EA9CF2"/>
    <w:lvl w:ilvl="0" w:tplc="B18CD368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717BE"/>
    <w:multiLevelType w:val="hybridMultilevel"/>
    <w:tmpl w:val="B518D5D4"/>
    <w:lvl w:ilvl="0" w:tplc="B18CD368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A25"/>
    <w:multiLevelType w:val="hybridMultilevel"/>
    <w:tmpl w:val="61A0A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079B6"/>
    <w:multiLevelType w:val="hybridMultilevel"/>
    <w:tmpl w:val="FBF6B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2502E"/>
    <w:multiLevelType w:val="hybridMultilevel"/>
    <w:tmpl w:val="80860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279EE"/>
    <w:multiLevelType w:val="hybridMultilevel"/>
    <w:tmpl w:val="D3ACF8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A"/>
    <w:rsid w:val="00185FB2"/>
    <w:rsid w:val="001931A5"/>
    <w:rsid w:val="00257714"/>
    <w:rsid w:val="00266FF6"/>
    <w:rsid w:val="002977FC"/>
    <w:rsid w:val="00337031"/>
    <w:rsid w:val="0035482B"/>
    <w:rsid w:val="003910CE"/>
    <w:rsid w:val="003953E5"/>
    <w:rsid w:val="00396B8B"/>
    <w:rsid w:val="003B7DA9"/>
    <w:rsid w:val="004A0C43"/>
    <w:rsid w:val="00531B48"/>
    <w:rsid w:val="0056651A"/>
    <w:rsid w:val="0058626A"/>
    <w:rsid w:val="005959F2"/>
    <w:rsid w:val="005B170B"/>
    <w:rsid w:val="005C298A"/>
    <w:rsid w:val="00622F6A"/>
    <w:rsid w:val="00674468"/>
    <w:rsid w:val="00700AF1"/>
    <w:rsid w:val="00764D58"/>
    <w:rsid w:val="007963D0"/>
    <w:rsid w:val="007C18CA"/>
    <w:rsid w:val="008906FF"/>
    <w:rsid w:val="008F673A"/>
    <w:rsid w:val="009C2B5C"/>
    <w:rsid w:val="009E13FD"/>
    <w:rsid w:val="00A3085B"/>
    <w:rsid w:val="00A73CB1"/>
    <w:rsid w:val="00AB0F43"/>
    <w:rsid w:val="00B4592A"/>
    <w:rsid w:val="00B50C3B"/>
    <w:rsid w:val="00BA25B9"/>
    <w:rsid w:val="00BE476B"/>
    <w:rsid w:val="00C71F0B"/>
    <w:rsid w:val="00D6242C"/>
    <w:rsid w:val="00E363B4"/>
    <w:rsid w:val="00E7093B"/>
    <w:rsid w:val="00E84B61"/>
    <w:rsid w:val="00EE6244"/>
    <w:rsid w:val="00F605CF"/>
    <w:rsid w:val="00F86BEB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C873"/>
  <w15:docId w15:val="{8D4885E0-7A8A-4FAE-BB5C-39D9C13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2B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5959F2"/>
    <w:pPr>
      <w:ind w:left="720"/>
    </w:pPr>
  </w:style>
  <w:style w:type="character" w:styleId="lev">
    <w:name w:val="Strong"/>
    <w:basedOn w:val="Policepardfaut"/>
    <w:uiPriority w:val="22"/>
    <w:qFormat/>
    <w:rsid w:val="0058626A"/>
    <w:rPr>
      <w:b/>
      <w:bCs/>
    </w:rPr>
  </w:style>
  <w:style w:type="table" w:styleId="Grilledutableau">
    <w:name w:val="Table Grid"/>
    <w:basedOn w:val="TableauNormal"/>
    <w:uiPriority w:val="39"/>
    <w:rsid w:val="00AB0F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2B5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B5C"/>
  </w:style>
  <w:style w:type="paragraph" w:styleId="Pieddepage">
    <w:name w:val="footer"/>
    <w:basedOn w:val="Normal"/>
    <w:link w:val="PieddepageCar"/>
    <w:uiPriority w:val="99"/>
    <w:unhideWhenUsed/>
    <w:rsid w:val="009C2B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B5C"/>
  </w:style>
  <w:style w:type="character" w:customStyle="1" w:styleId="Titre7Car">
    <w:name w:val="Titre 7 Car"/>
    <w:basedOn w:val="Policepardfaut"/>
    <w:link w:val="Titre7"/>
    <w:uiPriority w:val="9"/>
    <w:rsid w:val="009C2B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itredulivre">
    <w:name w:val="Book Title"/>
    <w:basedOn w:val="Policepardfaut"/>
    <w:uiPriority w:val="33"/>
    <w:qFormat/>
    <w:rsid w:val="009C2B5C"/>
    <w:rPr>
      <w:b/>
      <w:bCs/>
      <w:i/>
      <w:iCs/>
      <w:spacing w:val="5"/>
    </w:rPr>
  </w:style>
  <w:style w:type="table" w:customStyle="1" w:styleId="TableauGrille2-Accentuation21">
    <w:name w:val="Tableau Grille 2 - Accentuation 21"/>
    <w:basedOn w:val="TableauNormal"/>
    <w:uiPriority w:val="47"/>
    <w:rsid w:val="00531B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531B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Celine Crouzet</cp:lastModifiedBy>
  <cp:revision>2</cp:revision>
  <dcterms:created xsi:type="dcterms:W3CDTF">2020-10-20T16:26:00Z</dcterms:created>
  <dcterms:modified xsi:type="dcterms:W3CDTF">2020-10-20T16:26:00Z</dcterms:modified>
</cp:coreProperties>
</file>